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1B954AB" w:rsidR="00F92268" w:rsidRPr="00FF66BF" w:rsidRDefault="009E3B01" w:rsidP="00F246C7">
            <w:pPr>
              <w:pStyle w:val="RefTableHeader"/>
            </w:pPr>
            <w:r>
              <w:t>2095-A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D26E7D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245" w:gutter="0"/>
          <w:paperSrc w:first="15" w:other="15"/>
          <w:cols w:space="720"/>
          <w:titlePg/>
          <w:docGrid w:linePitch="299"/>
        </w:sectPr>
      </w:pPr>
    </w:p>
    <w:p w14:paraId="15687A6A" w14:textId="0989B6D4" w:rsidR="00CE07AB" w:rsidRDefault="00CE07AB" w:rsidP="00CE07AB">
      <w:pPr>
        <w:pStyle w:val="Heading1"/>
      </w:pPr>
      <w:r w:rsidRPr="00F7588E">
        <w:t>Specialty Guideline Management</w:t>
      </w:r>
      <w:r w:rsidRPr="00BD1CC1">
        <w:br/>
      </w:r>
      <w:r w:rsidRPr="00F7588E">
        <w:t>Procysbi</w:t>
      </w:r>
    </w:p>
    <w:p w14:paraId="5C71784B" w14:textId="1D4DD63A" w:rsidR="00CE07AB" w:rsidRPr="00BD1CC1" w:rsidRDefault="00CE07AB" w:rsidP="00CE07AB">
      <w:pPr>
        <w:pStyle w:val="Heading2"/>
      </w:pPr>
      <w:r w:rsidRPr="00BD1CC1">
        <w:t>Products Referenced by this Document</w:t>
      </w:r>
    </w:p>
    <w:p w14:paraId="0820CB56" w14:textId="7FB66AF4" w:rsidR="00CE07AB" w:rsidRPr="00BD1CC1" w:rsidRDefault="00CE07AB" w:rsidP="00CE07AB">
      <w:pPr>
        <w:pStyle w:val="BodyText"/>
      </w:pPr>
      <w:r w:rsidRPr="00BD1CC1">
        <w:t xml:space="preserve">Drugs that are listed in the following table include both brand and generic and all dosage forms and strengths unless otherwise stated. </w:t>
      </w:r>
      <w:r w:rsidR="00B6771F">
        <w:t>Over</w:t>
      </w:r>
      <w:r w:rsidR="001523F8">
        <w:t>-</w:t>
      </w:r>
      <w:r w:rsidR="00B6771F">
        <w:t>the</w:t>
      </w:r>
      <w:r w:rsidR="001523F8">
        <w:t>-</w:t>
      </w:r>
      <w:r w:rsidR="00B6771F">
        <w:t>counter (</w:t>
      </w:r>
      <w:r w:rsidRPr="00BD1CC1">
        <w:t>OTC</w:t>
      </w:r>
      <w:r w:rsidR="00B6771F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CE07AB" w:rsidRPr="00BD1CC1" w14:paraId="3A1DF3A0" w14:textId="77777777" w:rsidTr="00A34BB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D255FE8" w14:textId="77777777" w:rsidR="00CE07AB" w:rsidRPr="00BD1CC1" w:rsidRDefault="00CE07AB" w:rsidP="00A34BB7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4DDD33ED" w14:textId="77777777" w:rsidR="00CE07AB" w:rsidRPr="00BD1CC1" w:rsidRDefault="00CE07AB" w:rsidP="00A34BB7">
            <w:pPr>
              <w:pStyle w:val="TableHeader"/>
            </w:pPr>
            <w:r w:rsidRPr="00BD1CC1">
              <w:t>Generic Name</w:t>
            </w:r>
          </w:p>
        </w:tc>
      </w:tr>
      <w:tr w:rsidR="00CE07AB" w:rsidRPr="00BD1CC1" w14:paraId="4BDB9C08" w14:textId="77777777" w:rsidTr="00A34BB7">
        <w:trPr>
          <w:cantSplit/>
        </w:trPr>
        <w:tc>
          <w:tcPr>
            <w:tcW w:w="5265" w:type="dxa"/>
          </w:tcPr>
          <w:p w14:paraId="2A180383" w14:textId="77777777" w:rsidR="00CE07AB" w:rsidRPr="00BD1CC1" w:rsidRDefault="00CE07AB" w:rsidP="00A34BB7">
            <w:pPr>
              <w:pStyle w:val="TableDataUnpadded"/>
            </w:pPr>
            <w:r w:rsidRPr="00F7588E">
              <w:t>Procysbi</w:t>
            </w:r>
          </w:p>
        </w:tc>
        <w:tc>
          <w:tcPr>
            <w:tcW w:w="5595" w:type="dxa"/>
          </w:tcPr>
          <w:p w14:paraId="764B8FE1" w14:textId="77777777" w:rsidR="00CE07AB" w:rsidRPr="00BD1CC1" w:rsidRDefault="00CE07AB" w:rsidP="00A34BB7">
            <w:pPr>
              <w:pStyle w:val="TableDataUnpadded"/>
            </w:pPr>
            <w:r w:rsidRPr="00F7588E">
              <w:t>cysteamine bitartrate delayed-release</w:t>
            </w:r>
          </w:p>
        </w:tc>
      </w:tr>
    </w:tbl>
    <w:bookmarkEnd w:id="0"/>
    <w:p w14:paraId="42FDAAF5" w14:textId="395049F1" w:rsidR="00CE07AB" w:rsidRDefault="00CE07AB" w:rsidP="00CE07AB">
      <w:pPr>
        <w:pStyle w:val="Heading2"/>
        <w:tabs>
          <w:tab w:val="left" w:pos="9195"/>
        </w:tabs>
      </w:pPr>
      <w:r>
        <w:t>Indications</w:t>
      </w:r>
    </w:p>
    <w:p w14:paraId="189460DB" w14:textId="77777777" w:rsidR="00CE07AB" w:rsidRPr="00F7588E" w:rsidRDefault="00CE07AB" w:rsidP="00CE07AB">
      <w:pPr>
        <w:pStyle w:val="BodyText"/>
      </w:pPr>
      <w:r w:rsidRPr="00F7588E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0F5481F6" w14:textId="23AE6BB6" w:rsidR="00CE07AB" w:rsidRDefault="00CE07AB" w:rsidP="00CE07AB">
      <w:pPr>
        <w:pStyle w:val="Heading3"/>
        <w:keepNext w:val="0"/>
      </w:pPr>
      <w:r w:rsidRPr="00BD1CC1">
        <w:t>FDA-approved Indications</w:t>
      </w:r>
      <w:r w:rsidR="00020552" w:rsidRPr="00020552">
        <w:rPr>
          <w:vertAlign w:val="superscript"/>
        </w:rPr>
        <w:t>1</w:t>
      </w:r>
    </w:p>
    <w:p w14:paraId="380A6A06" w14:textId="77777777" w:rsidR="00CE07AB" w:rsidRDefault="00CE07AB" w:rsidP="00CE07AB">
      <w:pPr>
        <w:pStyle w:val="BodyText"/>
      </w:pPr>
      <w:r>
        <w:t>Procysbi is indicated for the treatment of nephropathic cystinosis in adults and pediatric patients 1 year of age and older.</w:t>
      </w:r>
    </w:p>
    <w:p w14:paraId="02922FBE" w14:textId="77777777" w:rsidR="00CE07AB" w:rsidRDefault="00CE07AB" w:rsidP="00810B1E">
      <w:pPr>
        <w:pStyle w:val="BodyText"/>
      </w:pPr>
      <w:r>
        <w:t>All other indications are considered experimental/investigational and not medically necessary.</w:t>
      </w:r>
    </w:p>
    <w:p w14:paraId="3D3E2B0B" w14:textId="77A8F7AD" w:rsidR="00CE07AB" w:rsidRDefault="00CE07AB" w:rsidP="00810B1E">
      <w:pPr>
        <w:pStyle w:val="Heading2"/>
        <w:keepNext w:val="0"/>
        <w:keepLines/>
        <w:tabs>
          <w:tab w:val="left" w:pos="9165"/>
        </w:tabs>
      </w:pPr>
      <w:r w:rsidRPr="00BD1CC1">
        <w:t>Documentation</w:t>
      </w:r>
    </w:p>
    <w:p w14:paraId="1506267C" w14:textId="7F2E6096" w:rsidR="00CE07AB" w:rsidRDefault="00CE07AB" w:rsidP="00810B1E">
      <w:pPr>
        <w:pStyle w:val="BodyText"/>
        <w:keepLines/>
      </w:pPr>
      <w:r>
        <w:t>Submission of the following information is necessary to initiate the prior authorization review:</w:t>
      </w:r>
    </w:p>
    <w:p w14:paraId="27FF133A" w14:textId="77777777" w:rsidR="00CE07AB" w:rsidRPr="00F7588E" w:rsidRDefault="00CE07AB" w:rsidP="00810B1E">
      <w:pPr>
        <w:pStyle w:val="ListParagraph"/>
        <w:keepLines/>
        <w:numPr>
          <w:ilvl w:val="0"/>
          <w:numId w:val="26"/>
        </w:numPr>
      </w:pPr>
      <w:r w:rsidRPr="00F7588E">
        <w:t>Initial requests: assay detecting increased cystine concentration in leukocytes or genetic testing results supporting diagnosis.</w:t>
      </w:r>
    </w:p>
    <w:p w14:paraId="7F916A0A" w14:textId="77777777" w:rsidR="00CE07AB" w:rsidRPr="00F7588E" w:rsidRDefault="00CE07AB" w:rsidP="00055C91">
      <w:pPr>
        <w:pStyle w:val="ListParagraph"/>
        <w:keepLines/>
        <w:numPr>
          <w:ilvl w:val="0"/>
          <w:numId w:val="26"/>
        </w:numPr>
        <w:ind w:right="360"/>
      </w:pPr>
      <w:r w:rsidRPr="00F7588E">
        <w:t>Continuation requests: lab results or chart notes documenting a positive response to therapy (e.g., improvement, stabilization, or slowing of disease progression for serum creatinine, calculated creatinine clearance, leukocyte cystine concentration, or maintained growth [height]).</w:t>
      </w:r>
    </w:p>
    <w:p w14:paraId="119FB514" w14:textId="77777777" w:rsidR="00047579" w:rsidRPr="00AA1E6A" w:rsidRDefault="00047579" w:rsidP="00047579">
      <w:pPr>
        <w:pStyle w:val="Heading2"/>
      </w:pPr>
      <w:r w:rsidRPr="00BD1CC1">
        <w:lastRenderedPageBreak/>
        <w:t>Prescriber Specialties</w:t>
      </w:r>
    </w:p>
    <w:p w14:paraId="508307E3" w14:textId="54856849" w:rsidR="00047579" w:rsidRDefault="00047579" w:rsidP="00055C91">
      <w:pPr>
        <w:pStyle w:val="BodyText"/>
      </w:pPr>
      <w:r w:rsidRPr="00143B24">
        <w:t>This medication must be prescribed by or in consultation with a physician who specializes in the treatment of metabolic disease and/or lysosomal storage disorders</w:t>
      </w:r>
      <w:r>
        <w:t>.</w:t>
      </w:r>
    </w:p>
    <w:p w14:paraId="089DF6E6" w14:textId="1A6930D4" w:rsidR="00CE07AB" w:rsidRDefault="00CE07AB" w:rsidP="00CE07AB">
      <w:pPr>
        <w:pStyle w:val="Heading2"/>
      </w:pPr>
      <w:r>
        <w:t>Coverage Criteria</w:t>
      </w:r>
    </w:p>
    <w:p w14:paraId="2F15935F" w14:textId="77777777" w:rsidR="00CE07AB" w:rsidRDefault="00CE07AB" w:rsidP="00CE07AB">
      <w:pPr>
        <w:pStyle w:val="Heading3"/>
      </w:pPr>
      <w:r>
        <w:t>Nephropathic cystinosis</w:t>
      </w:r>
      <w:r w:rsidRPr="00BF163F">
        <w:rPr>
          <w:vertAlign w:val="superscript"/>
        </w:rPr>
        <w:t>1,2</w:t>
      </w:r>
    </w:p>
    <w:p w14:paraId="69C377BB" w14:textId="77777777" w:rsidR="00CE07AB" w:rsidRDefault="00CE07AB" w:rsidP="00CE07AB">
      <w:pPr>
        <w:pStyle w:val="BodyText"/>
      </w:pPr>
      <w:r>
        <w:t>Authorization of 12 months may be granted for treatment of nephropathic cystinosis when all of the following criteria are met:</w:t>
      </w:r>
    </w:p>
    <w:p w14:paraId="0AD52112" w14:textId="77777777" w:rsidR="00CE07AB" w:rsidRPr="00BF163F" w:rsidRDefault="00CE07AB" w:rsidP="000343BC">
      <w:pPr>
        <w:pStyle w:val="ListParagraph"/>
        <w:numPr>
          <w:ilvl w:val="0"/>
          <w:numId w:val="27"/>
        </w:numPr>
      </w:pPr>
      <w:r w:rsidRPr="00BF163F">
        <w:t>Diagnosis of cystinosis was confirmed by the presence of increased cystine concentration in leukocytes or by genetic testing; and</w:t>
      </w:r>
    </w:p>
    <w:p w14:paraId="2D6264BD" w14:textId="77777777" w:rsidR="00CE07AB" w:rsidRPr="00BF163F" w:rsidRDefault="00CE07AB" w:rsidP="00CE07AB">
      <w:pPr>
        <w:pStyle w:val="ListParagraph"/>
        <w:numPr>
          <w:ilvl w:val="0"/>
          <w:numId w:val="27"/>
        </w:numPr>
      </w:pPr>
      <w:r w:rsidRPr="00BF163F">
        <w:t>Member is 1 year of age or older; and</w:t>
      </w:r>
    </w:p>
    <w:p w14:paraId="32BF7F27" w14:textId="77777777" w:rsidR="00CE07AB" w:rsidRPr="00BF163F" w:rsidRDefault="00CE07AB" w:rsidP="00CE07AB">
      <w:pPr>
        <w:pStyle w:val="ListParagraph"/>
        <w:numPr>
          <w:ilvl w:val="0"/>
          <w:numId w:val="27"/>
        </w:numPr>
      </w:pPr>
      <w:r w:rsidRPr="00BF163F">
        <w:t>Member will not use Procysbi in combination with Cystagon.</w:t>
      </w:r>
    </w:p>
    <w:p w14:paraId="777DC27F" w14:textId="3AD0279C" w:rsidR="00CE07AB" w:rsidRDefault="00CE07AB" w:rsidP="00CE07AB">
      <w:pPr>
        <w:pStyle w:val="Heading2"/>
      </w:pPr>
      <w:r w:rsidRPr="00BD1CC1">
        <w:t>Continuation of Therapy</w:t>
      </w:r>
    </w:p>
    <w:p w14:paraId="2E9B7F58" w14:textId="7566F06B" w:rsidR="00CE07AB" w:rsidRDefault="00CE07AB" w:rsidP="00CE07AB">
      <w:pPr>
        <w:pStyle w:val="BodyText"/>
      </w:pPr>
      <w:r w:rsidRPr="00BF163F">
        <w:t xml:space="preserve">Authorization of 12 months may be granted for continued treatment in members requesting reauthorization for an indication listed in </w:t>
      </w:r>
      <w:r w:rsidR="00D30D69">
        <w:t>the Coverage Criteria section</w:t>
      </w:r>
      <w:r w:rsidRPr="00BF163F">
        <w:t xml:space="preserve"> who are responding to therapy (e.g., improvement, stabilization, or slowing of disease progression for serum creatinine, calculated creatinine clearance, leukocyte cystine concentration, or maintained growth [height]).</w:t>
      </w:r>
    </w:p>
    <w:p w14:paraId="10DA4309" w14:textId="2832AAD3" w:rsidR="00FF66BF" w:rsidRPr="008D1B34" w:rsidRDefault="00FF66BF" w:rsidP="00FF66BF">
      <w:pPr>
        <w:pStyle w:val="Heading2"/>
      </w:pPr>
      <w:r w:rsidRPr="008D1B34">
        <w:t>References</w:t>
      </w:r>
    </w:p>
    <w:p w14:paraId="4A2D95E8" w14:textId="77777777" w:rsidR="00CE07AB" w:rsidRDefault="00CE07AB" w:rsidP="00CE07AB">
      <w:pPr>
        <w:pStyle w:val="ReferenceOrdered"/>
      </w:pPr>
      <w:r>
        <w:t>Procysbi [package insert]. Deerfield, IL: Horizon Therapeutics USA, Inc.; February 2022.</w:t>
      </w:r>
    </w:p>
    <w:p w14:paraId="47E1A10C" w14:textId="05F14016" w:rsidR="00C44990" w:rsidRPr="00614727" w:rsidRDefault="00CE07AB" w:rsidP="00243E53">
      <w:pPr>
        <w:pStyle w:val="ReferenceOrdered"/>
      </w:pPr>
      <w:r>
        <w:t xml:space="preserve">Ivanova E, De Leo MG, De </w:t>
      </w:r>
      <w:proofErr w:type="spellStart"/>
      <w:r>
        <w:t>Matteis</w:t>
      </w:r>
      <w:proofErr w:type="spellEnd"/>
      <w:r>
        <w:t xml:space="preserve"> MA, </w:t>
      </w:r>
      <w:proofErr w:type="spellStart"/>
      <w:r>
        <w:t>Levtchenko</w:t>
      </w:r>
      <w:proofErr w:type="spellEnd"/>
      <w:r>
        <w:t xml:space="preserve"> E. Cystinosis: clinical presentation, pathogenesis, and treatment. </w:t>
      </w:r>
      <w:proofErr w:type="spellStart"/>
      <w:r>
        <w:t>Pediatr</w:t>
      </w:r>
      <w:proofErr w:type="spellEnd"/>
      <w:r>
        <w:t xml:space="preserve"> Endocrinol Rev. 2014;12(1):176-184.</w:t>
      </w:r>
    </w:p>
    <w:sectPr w:rsidR="00C44990" w:rsidRPr="00614727" w:rsidSect="00243E53">
      <w:footerReference w:type="first" r:id="rId15"/>
      <w:type w:val="continuous"/>
      <w:pgSz w:w="12240" w:h="15840" w:code="1"/>
      <w:pgMar w:top="900" w:right="720" w:bottom="990" w:left="720" w:header="720" w:footer="244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423AD" w14:textId="77777777" w:rsidR="004E66CC" w:rsidRDefault="004E66CC">
      <w:r>
        <w:separator/>
      </w:r>
    </w:p>
  </w:endnote>
  <w:endnote w:type="continuationSeparator" w:id="0">
    <w:p w14:paraId="7CDB6D15" w14:textId="77777777" w:rsidR="004E66CC" w:rsidRDefault="004E66CC">
      <w:r>
        <w:continuationSeparator/>
      </w:r>
    </w:p>
  </w:endnote>
  <w:endnote w:type="continuationNotice" w:id="1">
    <w:p w14:paraId="314C777D" w14:textId="77777777" w:rsidR="004E66CC" w:rsidRDefault="004E66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5A59500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BF7D0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CB488C" w:rsidRPr="00CB488C">
      <w:rPr>
        <w:rFonts w:cs="Arial"/>
        <w:noProof/>
        <w:sz w:val="16"/>
        <w:szCs w:val="16"/>
      </w:rPr>
      <w:t>Procysbi</w:t>
    </w:r>
    <w:r w:rsidR="00CB488C">
      <w:rPr>
        <w:rFonts w:cs="Arial"/>
        <w:noProof/>
        <w:snapToGrid w:val="0"/>
        <w:color w:val="000000"/>
        <w:sz w:val="16"/>
        <w:szCs w:val="16"/>
      </w:rPr>
      <w:t xml:space="preserve"> SGM 2095-A</w:t>
    </w:r>
    <w:r w:rsidR="00CB488C" w:rsidRPr="00CB488C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BF7D06">
      <w:rPr>
        <w:rFonts w:cs="Arial"/>
        <w:snapToGrid w:val="0"/>
        <w:color w:val="000000"/>
        <w:sz w:val="16"/>
      </w:rPr>
      <w:tab/>
      <w:t>© 202</w:t>
    </w:r>
    <w:r w:rsidR="00CB488C">
      <w:rPr>
        <w:rFonts w:cs="Arial"/>
        <w:snapToGrid w:val="0"/>
        <w:color w:val="000000"/>
        <w:sz w:val="16"/>
      </w:rPr>
      <w:t>5</w:t>
    </w:r>
    <w:r w:rsidRPr="00BF7D06">
      <w:rPr>
        <w:rFonts w:cs="Arial"/>
        <w:snapToGrid w:val="0"/>
        <w:color w:val="000000"/>
        <w:sz w:val="16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7B97E0B3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65E31EE5" w:rsidR="00F75C81" w:rsidRPr="00AA1E6A" w:rsidRDefault="00C36B72" w:rsidP="00243E5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4D8C771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BF7D0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E7000" w:rsidRPr="00FE7000">
      <w:rPr>
        <w:rFonts w:cs="Arial"/>
        <w:noProof/>
        <w:sz w:val="16"/>
        <w:szCs w:val="16"/>
      </w:rPr>
      <w:t>Procysbi</w:t>
    </w:r>
    <w:r w:rsidR="00FE7000">
      <w:rPr>
        <w:rFonts w:cs="Arial"/>
        <w:noProof/>
        <w:snapToGrid w:val="0"/>
        <w:color w:val="000000"/>
        <w:sz w:val="16"/>
        <w:szCs w:val="16"/>
      </w:rPr>
      <w:t xml:space="preserve"> SGM 2095-A</w:t>
    </w:r>
    <w:r w:rsidR="00FE7000" w:rsidRPr="00FE7000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BF7D06">
      <w:rPr>
        <w:rFonts w:cs="Arial"/>
        <w:snapToGrid w:val="0"/>
        <w:color w:val="000000"/>
        <w:sz w:val="16"/>
      </w:rPr>
      <w:tab/>
      <w:t>© 202</w:t>
    </w:r>
    <w:r w:rsidR="00803582">
      <w:rPr>
        <w:rFonts w:cs="Arial"/>
        <w:snapToGrid w:val="0"/>
        <w:color w:val="000000"/>
        <w:sz w:val="16"/>
      </w:rPr>
      <w:t>5</w:t>
    </w:r>
    <w:r w:rsidRPr="00BF7D06">
      <w:rPr>
        <w:rFonts w:cs="Arial"/>
        <w:snapToGrid w:val="0"/>
        <w:color w:val="000000"/>
        <w:sz w:val="16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53AA5CEA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751D3E00" w:rsidR="00ED04EC" w:rsidRPr="00F50D98" w:rsidRDefault="00F50D98" w:rsidP="00243E5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9B2F1" w14:textId="77777777" w:rsidR="00BB2FB3" w:rsidRPr="00F50D98" w:rsidRDefault="00BB2FB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E037D" w14:textId="77777777" w:rsidR="004E66CC" w:rsidRDefault="004E66CC">
      <w:r>
        <w:separator/>
      </w:r>
    </w:p>
  </w:footnote>
  <w:footnote w:type="continuationSeparator" w:id="0">
    <w:p w14:paraId="0638D883" w14:textId="77777777" w:rsidR="004E66CC" w:rsidRDefault="004E66CC">
      <w:r>
        <w:continuationSeparator/>
      </w:r>
    </w:p>
  </w:footnote>
  <w:footnote w:type="continuationNotice" w:id="1">
    <w:p w14:paraId="42AE6C0F" w14:textId="77777777" w:rsidR="004E66CC" w:rsidRDefault="004E66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47640C" w:rsidRPr="0047640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1523F8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1523F8">
            <w:rPr>
              <w:rFonts w:cs="Arial"/>
              <w:sz w:val="16"/>
              <w:szCs w:val="16"/>
            </w:rPr>
            <w:t>Reference number(s)</w:t>
          </w:r>
        </w:p>
      </w:tc>
    </w:tr>
    <w:tr w:rsidR="0047640C" w:rsidRPr="0047640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2445D00F" w:rsidR="00ED04EC" w:rsidRPr="001523F8" w:rsidRDefault="009E3B01" w:rsidP="00ED04EC">
          <w:pPr>
            <w:pStyle w:val="Header"/>
            <w:rPr>
              <w:rFonts w:cs="Arial"/>
              <w:sz w:val="16"/>
              <w:szCs w:val="16"/>
            </w:rPr>
          </w:pPr>
          <w:r w:rsidRPr="001523F8">
            <w:rPr>
              <w:rFonts w:cs="Arial"/>
              <w:sz w:val="16"/>
              <w:szCs w:val="16"/>
            </w:rPr>
            <w:t>2095-A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05621"/>
    <w:multiLevelType w:val="hybridMultilevel"/>
    <w:tmpl w:val="E8ACD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6D4EC2"/>
    <w:multiLevelType w:val="hybridMultilevel"/>
    <w:tmpl w:val="50E60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3"/>
  </w:num>
  <w:num w:numId="3" w16cid:durableId="611589570">
    <w:abstractNumId w:val="18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5"/>
  </w:num>
  <w:num w:numId="18" w16cid:durableId="299724409">
    <w:abstractNumId w:val="20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6"/>
  </w:num>
  <w:num w:numId="22" w16cid:durableId="1472481103">
    <w:abstractNumId w:val="22"/>
  </w:num>
  <w:num w:numId="23" w16cid:durableId="1997420403">
    <w:abstractNumId w:val="24"/>
  </w:num>
  <w:num w:numId="24" w16cid:durableId="33312838">
    <w:abstractNumId w:val="21"/>
  </w:num>
  <w:num w:numId="25" w16cid:durableId="507404939">
    <w:abstractNumId w:val="15"/>
  </w:num>
  <w:num w:numId="26" w16cid:durableId="876233463">
    <w:abstractNumId w:val="17"/>
  </w:num>
  <w:num w:numId="27" w16cid:durableId="1342051854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55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43BC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579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5C91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23F8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6795D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07F04"/>
    <w:rsid w:val="00210410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4864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E53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0BC3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0DE4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56B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0C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9EF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B99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6C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20E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27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3582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0B1E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6D6"/>
    <w:rsid w:val="00822A02"/>
    <w:rsid w:val="008231A9"/>
    <w:rsid w:val="0082357B"/>
    <w:rsid w:val="0082395F"/>
    <w:rsid w:val="00823B22"/>
    <w:rsid w:val="008254BC"/>
    <w:rsid w:val="00826FDC"/>
    <w:rsid w:val="0082762E"/>
    <w:rsid w:val="008308BE"/>
    <w:rsid w:val="00830CE5"/>
    <w:rsid w:val="008313C2"/>
    <w:rsid w:val="00832520"/>
    <w:rsid w:val="00832E33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094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6FE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90B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0E1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3B01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21C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71F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2FB3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5D20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06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57141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6F8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88C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7AB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26E7D"/>
    <w:rsid w:val="00D30248"/>
    <w:rsid w:val="00D30A4B"/>
    <w:rsid w:val="00D30D69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48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035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2D6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3670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3BA1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1E89"/>
    <w:rsid w:val="00EA2240"/>
    <w:rsid w:val="00EA3622"/>
    <w:rsid w:val="00EA36F5"/>
    <w:rsid w:val="00EA3852"/>
    <w:rsid w:val="00EA38E9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50B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21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000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85D645FA-E78F-4EF3-99B4-41B9394DE7A3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352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Procysbi SGM 2095-A</vt:lpstr>
    </vt:vector>
  </TitlesOfParts>
  <Company>CVS Caremark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Procysbi SGM 2095-A</dc:title>
  <dc:subject>Procysbi SGM 2095-A</dc:subject>
  <dc:creator>CVS Caremark</dc:creator>
  <cp:keywords/>
  <cp:lastModifiedBy>Ortiz, Erica M</cp:lastModifiedBy>
  <cp:revision>31</cp:revision>
  <cp:lastPrinted>2024-04-12T06:48:00Z</cp:lastPrinted>
  <dcterms:created xsi:type="dcterms:W3CDTF">2024-04-12T06:47:00Z</dcterms:created>
  <dcterms:modified xsi:type="dcterms:W3CDTF">2025-05-08T19:26:00Z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941700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